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LN-0002 · Constitutional</w:t>
      </w:r>
    </w:p>
    <w:p>
      <w:pPr>
        <w:pStyle w:val="Title"/>
      </w:pPr>
      <w:r>
        <w:t xml:space="preserve">The Amending Power, from Shankari Prasad to Kesavananda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Twenty-two years of contest over whether Parliament can amend fundamental rights, ending in the basic structure limit.</w:t>
      </w:r>
    </w:p>
    <w:p>
      <w:pPr>
        <w:pStyle w:val="Guidance"/>
      </w:pPr>
      <w:r>
        <w:t xml:space="preserve">Authorities to start from. These are places to begin, listed by the editors. Read each one in the original and check the citation before you rely on it.</w:t>
      </w:r>
    </w:p>
    <w:p>
      <w:pPr>
        <w:pStyle w:val="Bullet"/>
      </w:pPr>
      <w:r>
        <w:t xml:space="preserve">•  Shankari Prasad Singh Deo v. Union of India, AIR 1951 SC 458</w:t>
      </w:r>
    </w:p>
    <w:p>
      <w:pPr>
        <w:pStyle w:val="Bullet"/>
      </w:pPr>
      <w:r>
        <w:t xml:space="preserve">•  Sajjan Singh v. State of Rajasthan, AIR 1965 SC 845</w:t>
      </w:r>
    </w:p>
    <w:p>
      <w:pPr>
        <w:pStyle w:val="Bullet"/>
      </w:pPr>
      <w:r>
        <w:t xml:space="preserve">•  I.C. Golak Nath v. State of Punjab, AIR 1967 SC 1643</w:t>
      </w:r>
    </w:p>
    <w:p>
      <w:pPr>
        <w:pStyle w:val="Bullet"/>
      </w:pPr>
      <w:r>
        <w:t xml:space="preserve">•  Kesavananda Bharati v. State of Kerala, (1973) 4 SCC 225</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https://fpr.iura.in/lineages/amending-power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