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LN-0010 · Constitutional</w:t>
      </w:r>
    </w:p>
    <w:p>
      <w:pPr>
        <w:pStyle w:val="Title"/>
      </w:pPr>
      <w:r>
        <w:t xml:space="preserve">The Speaker and the Tenth Schedule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Review of disqualification decisions, from Kihoto Hollohan to the cases on a Speaker facing removal and on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Kihoto Hollohan v. Zachillhu, 1992 Supp (2) SCC 651</w:t>
      </w:r>
    </w:p>
    <w:p>
      <w:pPr>
        <w:pStyle w:val="Bullet"/>
      </w:pPr>
      <w:r>
        <w:t xml:space="preserve">•  Nabam Rebia v. Deputy Speaker, Arunachal Pradesh Legislative Assembly, (2016) 8 SCC 1</w:t>
      </w:r>
    </w:p>
    <w:p>
      <w:pPr>
        <w:pStyle w:val="Bullet"/>
      </w:pPr>
      <w:r>
        <w:t xml:space="preserve">•  Keisham Meghachandra Singh v. Speaker, Manipur Legislative Assembly, (2021) 16 SCC 503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https://fpr.iura.in/lineages/anti-defection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