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LN-0067 · Human Rights</w:t>
      </w:r>
    </w:p>
    <w:p>
      <w:pPr>
        <w:pStyle w:val="Title"/>
      </w:pPr>
      <w:r>
        <w:t xml:space="preserve">Bonded Labour in the Supreme Court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abolition statute, a presumption of bondage from forced labour, and decades of monitoring.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People’s Union for Democratic Rights v. Union of India, (1982) 3 SCC 235</w:t>
      </w:r>
    </w:p>
    <w:p>
      <w:pPr>
        <w:pStyle w:val="Bullet"/>
      </w:pPr>
      <w:r>
        <w:t xml:space="preserve">•  Bandhua Mukti Morcha v. Union of India, (1984) 3 SCC 161</w:t>
      </w:r>
    </w:p>
    <w:p>
      <w:pPr>
        <w:pStyle w:val="Bullet"/>
      </w:pPr>
      <w:r>
        <w:t xml:space="preserve">•  Bonded Labour System (Abolition) Act, 1976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https://fpr.iura.in/lineages/bonded-labour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