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LN-0049 · Banking</w:t>
      </w:r>
    </w:p>
    <w:p>
      <w:pPr>
        <w:pStyle w:val="Title"/>
      </w:pPr>
      <w:r>
        <w:t xml:space="preserve">Where to File a Cheque Dishonour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Five possible places in 1999, one in 2014, and a legislative reversal within a year.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K. Bhaskaran v. Sankaran Vaidhyan Balan, (1999) 7 SCC 510</w:t>
      </w:r>
    </w:p>
    <w:p>
      <w:pPr>
        <w:pStyle w:val="Bullet"/>
      </w:pPr>
      <w:r>
        <w:t xml:space="preserve">•  Dashrath Rupsingh Rathod v. State of Maharashtra, (2014) 9 SCC 129</w:t>
      </w:r>
    </w:p>
    <w:p>
      <w:pPr>
        <w:pStyle w:val="Bullet"/>
      </w:pPr>
      <w:r>
        <w:t xml:space="preserve">•  Negotiable Instruments (Amendment) Act,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https://fpr.iura.in/lineages/cheque-dishonour-jurisdiction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