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LN-0034 · Family</w:t>
      </w:r>
    </w:p>
    <w:p>
      <w:pPr>
        <w:pStyle w:val="Title"/>
      </w:pPr>
      <w:r>
        <w:t xml:space="preserve">Succession for Christian Women, from Mary Roy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Travancore succession law was displaced and what followed for intestate succession among Indian Christians.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Mary Roy v. State of Kerala, (1986) 2 SCC 209</w:t>
      </w:r>
    </w:p>
    <w:p>
      <w:pPr>
        <w:pStyle w:val="Bullet"/>
      </w:pPr>
      <w:r>
        <w:t xml:space="preserve">•  Indian Succession Act, 1925, §§ 31–49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https://fpr.iura.in/lineages/christian-womens-succession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