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LN-0079 · Corporate</w:t>
      </w:r>
    </w:p>
    <w:p>
      <w:pPr>
        <w:pStyle w:val="Title"/>
      </w:pPr>
      <w:r>
        <w:t xml:space="preserve">Corporate Criminal Liability, from Velliappa to Iridium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a company can be prosecuted for an offence carrying mandatory imprisonment or requiring a guilty mind.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Assistant Commissioner v. Velliappa Textiles Ltd., (2003) 11 SCC 405</w:t>
      </w:r>
    </w:p>
    <w:p>
      <w:pPr>
        <w:pStyle w:val="Bullet"/>
      </w:pPr>
      <w:r>
        <w:t xml:space="preserve">•  Standard Chartered Bank v. Directorate of Enforcement, (2005) 4 SCC 530</w:t>
      </w:r>
    </w:p>
    <w:p>
      <w:pPr>
        <w:pStyle w:val="Bullet"/>
      </w:pPr>
      <w:r>
        <w:t xml:space="preserve">•  Iridium India Telecom Ltd. v. Motorola Inc., (2011) 1 SCC 74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https://fpr.iura.in/lineages/corporate-criminal-liability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