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LN-0020 · Family</w:t>
      </w:r>
    </w:p>
    <w:p>
      <w:pPr>
        <w:pStyle w:val="Title"/>
      </w:pPr>
      <w:r>
        <w:t xml:space="preserve">Daughters as Coparceners, from Prakash to Vineeta Sharma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Whether the father had to be alive on 9 September 2005: two conflicting benches and the three-judge resolution.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Prakash v. Phulavati, (2016) 2 SCC 36</w:t>
      </w:r>
    </w:p>
    <w:p>
      <w:pPr>
        <w:pStyle w:val="Bullet"/>
      </w:pPr>
      <w:r>
        <w:t xml:space="preserve">•  Danamma v. Amar, (2018) 3 SCC 343</w:t>
      </w:r>
    </w:p>
    <w:p>
      <w:pPr>
        <w:pStyle w:val="Bullet"/>
      </w:pPr>
      <w:r>
        <w:t xml:space="preserve">•  Vineeta Sharma v. Rakesh Sharma, (2020) 9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https://fpr.iura.in/lineages/daughters-as-coparceners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