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LN-0014 · Evidence</w:t>
      </w:r>
    </w:p>
    <w:p>
      <w:pPr>
        <w:pStyle w:val="Title"/>
      </w:pPr>
      <w:r>
        <w:t xml:space="preserve">Electronic Evidence and the Section 65B Certificate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Four turns in fifteen years on whether a certificate is mandatory for electronic records.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(NCT of Delhi) v. Navjot Sandhu, (2005) 11 SCC 600</w:t>
      </w:r>
    </w:p>
    <w:p>
      <w:pPr>
        <w:pStyle w:val="Bullet"/>
      </w:pPr>
      <w:r>
        <w:t xml:space="preserve">•  Anvar P.V. v. P.K. Basheer, (2014) 10 SCC 473</w:t>
      </w:r>
    </w:p>
    <w:p>
      <w:pPr>
        <w:pStyle w:val="Bullet"/>
      </w:pPr>
      <w:r>
        <w:t xml:space="preserve">•  Shafhi Mohammad v. State of H.P., (2018) 2 SCC 801</w:t>
      </w:r>
    </w:p>
    <w:p>
      <w:pPr>
        <w:pStyle w:val="Bullet"/>
      </w:pPr>
      <w:r>
        <w:t xml:space="preserve">•  Arjun Panditrao Khotkar v. Kailash Kushanrao Gorantyal, (2020) 7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https://fpr.iura.in/lineages/electronic-evidence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