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LN-0029 · Environment</w:t>
      </w:r>
    </w:p>
    <w:p>
      <w:pPr>
        <w:pStyle w:val="Title"/>
      </w:pPr>
      <w:r>
        <w:t xml:space="preserve">A Right to Environment, from Dehradun Quarries to Climate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Reading a right to a healthy environment into Article 21, up to a right against the adverse effects of climate change.</w:t>
      </w:r>
    </w:p>
    <w:p>
      <w:pPr>
        <w:pStyle w:val="Guidance"/>
      </w:pPr>
      <w:r>
        <w:t xml:space="preserve">Authorities to start from. These are places to begin, listed by the editors. Read each one in the original and check the citation before you rely on it.</w:t>
      </w:r>
    </w:p>
    <w:p>
      <w:pPr>
        <w:pStyle w:val="Bullet"/>
      </w:pPr>
      <w:r>
        <w:t xml:space="preserve">•  Rural Litigation &amp; Entitlement Kendra v. State of U.P., (1985) 2 SCC 431</w:t>
      </w:r>
    </w:p>
    <w:p>
      <w:pPr>
        <w:pStyle w:val="Bullet"/>
      </w:pPr>
      <w:r>
        <w:t xml:space="preserve">•  Subhash Kumar v. State of Bihar, (1991) 1 SCC 598</w:t>
      </w:r>
    </w:p>
    <w:p>
      <w:pPr>
        <w:pStyle w:val="Bullet"/>
      </w:pPr>
      <w:r>
        <w:t xml:space="preserve">•  M.K. Ranjitsinh v. Union of India, 2024 SCC OnLine SC 570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https://fpr.iura.in/lineages/environmental-rights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