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LN-0018 · Human Rights</w:t>
      </w:r>
    </w:p>
    <w:p>
      <w:pPr>
        <w:pStyle w:val="Title"/>
      </w:pPr>
      <w:r>
        <w:t xml:space="preserve">The Right to Die, from Gian Kaur to Common Cause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no right to die, through passive euthanasia by court permission, to advance directives.</w:t>
      </w:r>
    </w:p>
    <w:p>
      <w:pPr>
        <w:pStyle w:val="Guidance"/>
      </w:pPr>
      <w:r>
        <w:t xml:space="preserve">Authorities to start from. These are places to begin, listed by the editors. Read each one in the original and check the citation before you rely on it.</w:t>
      </w:r>
    </w:p>
    <w:p>
      <w:pPr>
        <w:pStyle w:val="Bullet"/>
      </w:pPr>
      <w:r>
        <w:t xml:space="preserve">•  Gian Kaur v. State of Punjab, (1996) 2 SCC 648</w:t>
      </w:r>
    </w:p>
    <w:p>
      <w:pPr>
        <w:pStyle w:val="Bullet"/>
      </w:pPr>
      <w:r>
        <w:t xml:space="preserve">•  Aruna Ramachandra Shanbaug v. Union of India, (2011) 4 SCC 454</w:t>
      </w:r>
    </w:p>
    <w:p>
      <w:pPr>
        <w:pStyle w:val="Bullet"/>
      </w:pPr>
      <w:r>
        <w:t xml:space="preserve">•  Common Cause v. Union of India, (2018) 5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https://fpr.iura.in/lineages/euthanasia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