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LN-0063 · International (Public)</w:t>
      </w:r>
    </w:p>
    <w:p>
      <w:pPr>
        <w:pStyle w:val="Title"/>
      </w:pPr>
      <w:r>
        <w:t xml:space="preserve">Extradition in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Speciality, the political offence exception, and how far a court looks into the requesting State’s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w:t>
      </w:r>
    </w:p>
    <w:p>
      <w:pPr>
        <w:pStyle w:val="Bullet"/>
      </w:pPr>
      <w:r>
        <w:t xml:space="preserve">•  Daya Singh Lahoria v. Union of India, (2001) 4 SCC 516</w:t>
      </w:r>
    </w:p>
    <w:p>
      <w:pPr>
        <w:pStyle w:val="Bullet"/>
      </w:pPr>
      <w:r>
        <w:t xml:space="preserve">•  Abu Salem Abdul Qayoom Ansari v. State of Maharashtra, (2011) 11 SCC 214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https://fpr.iura.in/lineages/extradition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