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LN-0056 · Media</w:t>
      </w:r>
    </w:p>
    <w:p>
      <w:pPr>
        <w:pStyle w:val="Title"/>
      </w:pPr>
      <w:r>
        <w:t xml:space="preserve">Film Censorship, from K.A. Abbas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Pre-censorship upheld, the standards a certifying board may apply, and the Court’s resistance to bans after certification.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K.A. Abbas v. Union of India, (1970) 2 SCC 780</w:t>
      </w:r>
    </w:p>
    <w:p>
      <w:pPr>
        <w:pStyle w:val="Bullet"/>
      </w:pPr>
      <w:r>
        <w:t xml:space="preserve">•  S. Rangarajan v. P. Jagjivan Ram, (1989) 2 SCC 574</w:t>
      </w:r>
    </w:p>
    <w:p>
      <w:pPr>
        <w:pStyle w:val="Bullet"/>
      </w:pPr>
      <w:r>
        <w:t xml:space="preserve">•  Prakash Jha Productions v. Union of India, (2011) 8 SCC 372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https://fpr.iura.in/lineages/film-censorship</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