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LN-0059 · Environment</w:t>
      </w:r>
    </w:p>
    <w:p>
      <w:pPr>
        <w:pStyle w:val="Title"/>
      </w:pPr>
      <w:r>
        <w:t xml:space="preserve">The Forest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One writ petition from 1995 that became a continuing mandamus governing India’s forests for three decades.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(1997) 2 SCC 267</w:t>
      </w:r>
    </w:p>
    <w:p>
      <w:pPr>
        <w:pStyle w:val="Bullet"/>
      </w:pPr>
      <w:r>
        <w:t xml:space="preserve">•  Lafarge Umiam Mining (P) Ltd. v. Union of India, (2011) 7 SCC 338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https://fpr.iura.in/lineages/forest-case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