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LN-0011 · Media</w:t>
      </w:r>
    </w:p>
    <w:p>
      <w:pPr>
        <w:pStyle w:val="Title"/>
      </w:pPr>
      <w:r>
        <w:t xml:space="preserve">Press Freedom, from Romesh Thappar to Indian Express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 right not named in Article 19 was built: circulation, newsprint, page limits and taxation.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Romesh Thappar v. State of Madras, AIR 1950 SC 124</w:t>
      </w:r>
    </w:p>
    <w:p>
      <w:pPr>
        <w:pStyle w:val="Bullet"/>
      </w:pPr>
      <w:r>
        <w:t xml:space="preserve">•  Sakal Papers (P) Ltd. v. Union of India, AIR 1962 SC 305</w:t>
      </w:r>
    </w:p>
    <w:p>
      <w:pPr>
        <w:pStyle w:val="Bullet"/>
      </w:pPr>
      <w:r>
        <w:t xml:space="preserve">•  Bennett Coleman &amp; Co. v. Union of India, (1972) 2 SCC 788</w:t>
      </w:r>
    </w:p>
    <w:p>
      <w:pPr>
        <w:pStyle w:val="Bullet"/>
      </w:pPr>
      <w:r>
        <w:t xml:space="preserve">•  Indian Express Newspapers (Bombay) (P) Ltd. v. Union of India, (1985) 1 SCC 641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https://fpr.iura.in/lineages/free-speech-and-the-press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