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LN-0060 · Environment</w:t>
      </w:r>
    </w:p>
    <w:p>
      <w:pPr>
        <w:pStyle w:val="Title"/>
      </w:pPr>
      <w:r>
        <w:t xml:space="preserve">Towards the Green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calls for expert environmental courts, two statutes that did little, and the tribunal of 2010.</w:t>
      </w:r>
    </w:p>
    <w:p>
      <w:pPr>
        <w:pStyle w:val="Guidance"/>
      </w:pPr>
      <w:r>
        <w:t xml:space="preserve">Authorities to start from. These are places to begin, listed by the editors. Read each one in the original and check the citation before you rely on it.</w:t>
      </w:r>
    </w:p>
    <w:p>
      <w:pPr>
        <w:pStyle w:val="Bullet"/>
      </w:pPr>
      <w:r>
        <w:t xml:space="preserve">•  A.P. Pollution Control Board v. Prof. M.V. Nayudu, (1999) 2 SCC 718</w:t>
      </w:r>
    </w:p>
    <w:p>
      <w:pPr>
        <w:pStyle w:val="Bullet"/>
      </w:pPr>
      <w:r>
        <w:t xml:space="preserve">•  National Environment Tribunal Act, 1995</w:t>
      </w:r>
    </w:p>
    <w:p>
      <w:pPr>
        <w:pStyle w:val="Bullet"/>
      </w:pPr>
      <w:r>
        <w:t xml:space="preserve">•  National Green Tribunal Act, 2010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https://fpr.iura.in/lineages/green-tribunal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