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LN-0070 · Legal History</w:t>
      </w:r>
    </w:p>
    <w:p>
      <w:pPr>
        <w:pStyle w:val="Title"/>
      </w:pPr>
      <w:r>
        <w:t xml:space="preserve">The High Courts, from 1861</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merger of the Supreme Courts and the Sadr Adalats, Letters Patent jurisdiction, and what survives today.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High Courts Act, 1861, 24 &amp; 25 Vict., c. 104</w:t>
      </w:r>
    </w:p>
    <w:p>
      <w:pPr>
        <w:pStyle w:val="Bullet"/>
      </w:pPr>
      <w:r>
        <w:t xml:space="preserve">•  Letters Patent of the High Court of Judicature at Bombay (1865)</w:t>
      </w:r>
    </w:p>
    <w:p>
      <w:pPr>
        <w:pStyle w:val="Bullet"/>
      </w:pPr>
      <w:r>
        <w:t xml:space="preserve">•  India Const. art. 225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https://fpr.iura.in/lineages/high-courts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