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LN-0017 · Human Rights</w:t>
      </w:r>
    </w:p>
    <w:p>
      <w:pPr>
        <w:pStyle w:val="Title"/>
      </w:pPr>
      <w:r>
        <w:t xml:space="preserve">Section 377, from Naz to Navtej</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Reading down, reversal and final decriminalisation across nine years and three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Naz Foundation v. Govt. of NCT of Delhi, (2009) 160 DLT 277</w:t>
      </w:r>
    </w:p>
    <w:p>
      <w:pPr>
        <w:pStyle w:val="Bullet"/>
      </w:pPr>
      <w:r>
        <w:t xml:space="preserve">•  Suresh Kumar Koushal v. Naz Foundation, (2014) 1 SCC 1</w:t>
      </w:r>
    </w:p>
    <w:p>
      <w:pPr>
        <w:pStyle w:val="Bullet"/>
      </w:pPr>
      <w:r>
        <w:t xml:space="preserve">•  Navtej Singh Johar v. Union of India, (2018)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https://fpr.iura.in/lineages/homosexuality-and-section-377</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