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LN-0081 · International (Public)</w:t>
      </w:r>
    </w:p>
    <w:p>
      <w:pPr>
        <w:pStyle w:val="Title"/>
      </w:pPr>
      <w:r>
        <w:t xml:space="preserve">India at the International Court of Justice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India as applicant and respondent at The Hague, from the Right of Passage case to Jadhav.</w:t>
      </w:r>
    </w:p>
    <w:p>
      <w:pPr>
        <w:pStyle w:val="Guidance"/>
      </w:pPr>
      <w:r>
        <w:t xml:space="preserve">Authorities to start from. These are places to begin, listed by the editors. Read each one in the original and check the citation before you rely on it.</w:t>
      </w:r>
    </w:p>
    <w:p>
      <w:pPr>
        <w:pStyle w:val="Bullet"/>
      </w:pPr>
      <w:r>
        <w:t xml:space="preserve">•  Right of Passage over Indian Territory (Port. v. India), Judgment, 1960 I.C.J. 6 (Apr. 12)</w:t>
      </w:r>
    </w:p>
    <w:p>
      <w:pPr>
        <w:pStyle w:val="Bullet"/>
      </w:pPr>
      <w:r>
        <w:t xml:space="preserve">•  Jadhav (India v. Pak.), Judgment, 2019 I.C.J. 418 (July 17)</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https://fpr.iura.in/lineages/india-at-the-world-court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