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LN-0053 · Tech &amp; Data</w:t>
      </w:r>
    </w:p>
    <w:p>
      <w:pPr>
        <w:pStyle w:val="Title"/>
      </w:pPr>
      <w:r>
        <w:t xml:space="preserve">Intermediary Liability, from Avnish Bajaj to the 2021 Rules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An arrest, an amendment, a reading down, and rules that added new duties.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Avnish Bajaj v. State, 2008 SCC OnLine Del 688</w:t>
      </w:r>
    </w:p>
    <w:p>
      <w:pPr>
        <w:pStyle w:val="Bullet"/>
      </w:pPr>
      <w:r>
        <w:t xml:space="preserve">•  Shreya Singhal v. Union of India, (2015) 5 SCC 1</w:t>
      </w:r>
    </w:p>
    <w:p>
      <w:pPr>
        <w:pStyle w:val="Bullet"/>
      </w:pPr>
      <w:r>
        <w:t xml:space="preserve">•  Information Technology (Intermediary Guidelines and Digital Media Ethics Code) Rules,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https://fpr.iura.in/lineages/intermediary-liability-lineage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