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Lineage · LN-0065 · Private International</w:t>
      </w:r>
    </w:p>
    <w:p>
      <w:pPr>
        <w:pStyle w:val="Title"/>
      </w:pPr>
      <w:r>
        <w:t xml:space="preserve">Children Taken across Borders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first decision</w:t>
      </w:r>
    </w:p>
    <w:p>
      <w:pPr>
        <w:pStyle w:val="Guidance"/>
      </w:pPr>
      <w:r>
        <w:t xml:space="preserve">Where the line of cases begins and what was held.</w:t>
      </w:r>
    </w:p>
    <w:p/>
    <w:p>
      <w:pPr>
        <w:pStyle w:val="Heading1"/>
      </w:pPr>
      <w:r>
        <w:t xml:space="preserve">The turning points</w:t>
      </w:r>
    </w:p>
    <w:p>
      <w:pPr>
        <w:pStyle w:val="Guidance"/>
      </w:pPr>
      <w:r>
        <w:t xml:space="preserve">Each decision that changed the position, in order, and why it did.</w:t>
      </w:r>
    </w:p>
    <w:p/>
    <w:p>
      <w:pPr>
        <w:pStyle w:val="Heading1"/>
      </w:pPr>
      <w:r>
        <w:t xml:space="preserve">The current position</w:t>
      </w:r>
    </w:p>
    <w:p>
      <w:pPr>
        <w:pStyle w:val="Guidance"/>
      </w:pPr>
      <w:r>
        <w:t xml:space="preserve">What the law is now, in the words of the latest decision.</w:t>
      </w:r>
    </w:p>
    <w:p/>
    <w:p>
      <w:pPr>
        <w:pStyle w:val="Heading1"/>
      </w:pPr>
      <w:r>
        <w:t xml:space="preserve">What drove the change</w:t>
      </w:r>
    </w:p>
    <w:p>
      <w:pPr>
        <w:pStyle w:val="Guidance"/>
      </w:pPr>
      <w:r>
        <w:t xml:space="preserve">Your reading of why the courts moved.</w:t>
      </w:r>
    </w:p>
    <w:p/>
    <w:p>
      <w:pPr>
        <w:pStyle w:val="Heading1"/>
      </w:pPr>
      <w:r>
        <w:t xml:space="preserve">What is left open</w:t>
      </w:r>
    </w:p>
    <w:p>
      <w:pPr>
        <w:pStyle w:val="Guidance"/>
      </w:pPr>
      <w:r>
        <w:t xml:space="preserve">Questions the latest decision did not settle.</w:t>
      </w:r>
    </w:p>
    <w:p/>
    <w:p>
      <w:pPr>
        <w:pStyle w:val="Heading1"/>
      </w:pPr>
      <w:r>
        <w:t xml:space="preserve">Notes for the writer (delete before submitting)</w:t>
      </w:r>
    </w:p>
    <w:p>
      <w:pPr>
        <w:pStyle w:val="Guidance"/>
      </w:pPr>
      <w:r>
        <w:t xml:space="preserve">Scope of this entry. From summary return on the strength of a foreign order to an inquiry into the child’s welfare.</w:t>
      </w:r>
    </w:p>
    <w:p>
      <w:pPr>
        <w:pStyle w:val="Guidance"/>
      </w:pPr>
      <w:r>
        <w:t xml:space="preserve">Authorities to start from. These are places to begin, listed by the editors. Read each one in the original and check the citation before you rely on it.</w:t>
      </w:r>
    </w:p>
    <w:p>
      <w:pPr>
        <w:pStyle w:val="Bullet"/>
      </w:pPr>
      <w:r>
        <w:t xml:space="preserve">•  Surinder Kaur Sandhu v. Harbax Singh Sandhu, (1984) 3 SCC 698</w:t>
      </w:r>
    </w:p>
    <w:p>
      <w:pPr>
        <w:pStyle w:val="Bullet"/>
      </w:pPr>
      <w:r>
        <w:t xml:space="preserve">•  V. Ravi Chandran v. Union of India, (2010) 1 SCC 174</w:t>
      </w:r>
    </w:p>
    <w:p>
      <w:pPr>
        <w:pStyle w:val="Bullet"/>
      </w:pPr>
      <w:r>
        <w:t xml:space="preserve">•  Nithya Anand Raghavan v. State (NCT of Delhi), (2017) 8 SCC 454</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https://fpr.iura.in/lineages/international-child-custody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