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LN-0078 · Property</w:t>
      </w:r>
    </w:p>
    <w:p>
      <w:pPr>
        <w:pStyle w:val="Title"/>
      </w:pPr>
      <w:r>
        <w:t xml:space="preserve">Land Acquisition, from 1894 to 2013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colonial statute with thin safeguards to consent, social impact assessment, and the dispute over lapsed acquisitions.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Land Acquisition Act, 1894</w:t>
      </w:r>
    </w:p>
    <w:p>
      <w:pPr>
        <w:pStyle w:val="Bullet"/>
      </w:pPr>
      <w:r>
        <w:t xml:space="preserve">•  Right to Fair Compensation and Transparency in Land Acquisition, Rehabilitation and Resettlement Act, 2013, § 24</w:t>
      </w:r>
    </w:p>
    <w:p>
      <w:pPr>
        <w:pStyle w:val="Bullet"/>
      </w:pPr>
      <w:r>
        <w:t xml:space="preserve">•  Indore Development Authority v. Manoharlal, (2020) 8 SCC 129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https://fpr.iura.in/lineages/land-acquisition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