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LN-0076 · Tort</w:t>
      </w:r>
    </w:p>
    <w:p>
      <w:pPr>
        <w:pStyle w:val="Title"/>
      </w:pPr>
      <w:r>
        <w:t xml:space="preserve">Medical Negligence, from V.P. Shantha to Jacob Mathew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Doctors brought under consumer law in 1995, and the higher threshold set for prosecuting them in 2005.</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Medical Association v. V.P. Shantha, (1995) 6 SCC 651</w:t>
      </w:r>
    </w:p>
    <w:p>
      <w:pPr>
        <w:pStyle w:val="Bullet"/>
      </w:pPr>
      <w:r>
        <w:t xml:space="preserve">•  Jacob Mathew v. State of Punjab, (2005) 6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https://fpr.iura.in/lineages/medical-negligence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