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LN-0019 · Family</w:t>
      </w:r>
    </w:p>
    <w:p>
      <w:pPr>
        <w:pStyle w:val="Title"/>
      </w:pPr>
      <w:r>
        <w:t xml:space="preserve">Maintenance for Muslim Women, from Shah Bano to Danial Latifi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 judgment, a statute meant to reverse it, and a reading of that statute which restored the result.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Mohd. Ahmed Khan v. Shah Bano Begum, (1985) 2 SCC 556</w:t>
      </w:r>
    </w:p>
    <w:p>
      <w:pPr>
        <w:pStyle w:val="Bullet"/>
      </w:pPr>
      <w:r>
        <w:t xml:space="preserve">•  Muslim Women (Protection of Rights on Divorce) Act, 1986</w:t>
      </w:r>
    </w:p>
    <w:p>
      <w:pPr>
        <w:pStyle w:val="Bullet"/>
      </w:pPr>
      <w:r>
        <w:t xml:space="preserve">•  Danial Latifi v. Union of India, (2001) 7 SCC 740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https://fpr.iura.in/lineages/muslim-womens-maintenance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