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LN-0009 · Constitutional</w:t>
      </w:r>
    </w:p>
    <w:p>
      <w:pPr>
        <w:pStyle w:val="Title"/>
      </w:pPr>
      <w:r>
        <w:t xml:space="preserve">The Ordinance Power and Re-promulgation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Judicial control of ordinances: satisfaction, re-promulgation as a fraud on the Constitution, and the laying requirement.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R.C. Cooper v. Union of India, (1970) 1 SCC 248</w:t>
      </w:r>
    </w:p>
    <w:p>
      <w:pPr>
        <w:pStyle w:val="Bullet"/>
      </w:pPr>
      <w:r>
        <w:t xml:space="preserve">•  D.C. Wadhwa v. State of Bihar, (1987) 1 SCC 378</w:t>
      </w:r>
    </w:p>
    <w:p>
      <w:pPr>
        <w:pStyle w:val="Bullet"/>
      </w:pPr>
      <w:r>
        <w:t xml:space="preserve">•  Krishna Kumar Singh v. State of Bihar, (2017) 3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https://fpr.iura.in/lineages/ordinance-power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