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LN-0008 · Constitutional</w:t>
      </w:r>
    </w:p>
    <w:p>
      <w:pPr>
        <w:pStyle w:val="Title"/>
      </w:pPr>
      <w:r>
        <w:t xml:space="preserve">President’s Rule and Judicial Review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a political question beyond review to a justiciable proclamation that a court can undo.</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Union of India, (1977) 3 SCC 592</w:t>
      </w:r>
    </w:p>
    <w:p>
      <w:pPr>
        <w:pStyle w:val="Bullet"/>
      </w:pPr>
      <w:r>
        <w:t xml:space="preserve">•  S.R. Bommai v. Union of India, (1994) 3 SCC 1</w:t>
      </w:r>
    </w:p>
    <w:p>
      <w:pPr>
        <w:pStyle w:val="Bullet"/>
      </w:pPr>
      <w:r>
        <w:t xml:space="preserve">•  Rameshwar Prasad (VI) v. Union of India, (2006) 2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https://fpr.iura.in/lineages/presidents-rule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