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LN-0030 · Legal History</w:t>
      </w:r>
    </w:p>
    <w:p>
      <w:pPr>
        <w:pStyle w:val="Title"/>
      </w:pPr>
      <w:r>
        <w:t xml:space="preserve">From the Privy Council to the Supreme Court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transfer of final appellate authority: the Federal Court, the abolition of Privy Council jurisdiction, and the status of its decisions.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Government of India Act, 1935, §§ 200–218</w:t>
      </w:r>
    </w:p>
    <w:p>
      <w:pPr>
        <w:pStyle w:val="Bullet"/>
      </w:pPr>
      <w:r>
        <w:t xml:space="preserve">•  Abolition of Privy Council Jurisdiction Act, 1949</w:t>
      </w:r>
    </w:p>
    <w:p>
      <w:pPr>
        <w:pStyle w:val="Bullet"/>
      </w:pPr>
      <w:r>
        <w:t xml:space="preserve">•  India Const. arts. 124, 135, 372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https://fpr.iura.in/lineages/privy-council-to-supreme-court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