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LN-0072 · Constitutional</w:t>
      </w:r>
    </w:p>
    <w:p>
      <w:pPr>
        <w:pStyle w:val="Title"/>
      </w:pPr>
      <w:r>
        <w:t xml:space="preserve">Public Interest Litigation, from Hussainara to S.P. Gupta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Court relaxed standing and procedure between 1979 and 1982 so that others could sue for those who could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Hussainara Khatoon v. State of Bihar, (1980) 1 SCC 81</w:t>
      </w:r>
    </w:p>
    <w:p>
      <w:pPr>
        <w:pStyle w:val="Bullet"/>
      </w:pPr>
      <w:r>
        <w:t xml:space="preserve">•  S.P. Gupta v. Union of India, 1981 Supp SCC 87</w:t>
      </w:r>
    </w:p>
    <w:p>
      <w:pPr>
        <w:pStyle w:val="Bullet"/>
      </w:pPr>
      <w:r>
        <w:t xml:space="preserve">•  Bandhua Mukti Morcha v. Union of India, (1984) 3 SCC 161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https://fpr.iura.in/lineages/public-interest-litigation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