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LN-0027 · Labour</w:t>
      </w:r>
    </w:p>
    <w:p>
      <w:pPr>
        <w:pStyle w:val="Title"/>
      </w:pPr>
      <w:r>
        <w:t xml:space="preserve">Regularisation, before and after Umadevi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Courts ordering absorption of long-serving temporary staff, the Constitution Bench that stopped it, and the exceptions since.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Haryana v. Piara Singh, (1992) 4 SCC 118</w:t>
      </w:r>
    </w:p>
    <w:p>
      <w:pPr>
        <w:pStyle w:val="Bullet"/>
      </w:pPr>
      <w:r>
        <w:t xml:space="preserve">•  Secretary, State of Karnataka v. Umadevi, (2006) 4 SCC 1</w:t>
      </w:r>
    </w:p>
    <w:p>
      <w:pPr>
        <w:pStyle w:val="Bullet"/>
      </w:pPr>
      <w:r>
        <w:t xml:space="preserve">•  State of Karnataka v. M.L. Kesari, (2010) 9 SCC 247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https://fpr.iura.in/lineages/regularisation-of-temporary-workers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