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LN-0038 · Labour</w:t>
      </w:r>
    </w:p>
    <w:p>
      <w:pPr>
        <w:pStyle w:val="Title"/>
      </w:pPr>
      <w:r>
        <w:t xml:space="preserve">From Reinstatement to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remedy for wrongful termination: once reinstatement with back wages as a rule, now often a lump sum.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Hindustan Tin Works (P) Ltd. v. Employees, (1979) 2 SCC 80</w:t>
      </w:r>
    </w:p>
    <w:p>
      <w:pPr>
        <w:pStyle w:val="Bullet"/>
      </w:pPr>
      <w:r>
        <w:t xml:space="preserve">•  Jagbir Singh v. Haryana State Agriculture Marketing Board, (2009) 15 SCC 327</w:t>
      </w:r>
    </w:p>
    <w:p>
      <w:pPr>
        <w:pStyle w:val="Bullet"/>
      </w:pPr>
      <w:r>
        <w:t xml:space="preserve">•  Deepali Gundu Surwase v. Kranti Junior Adhyapak Mahavidyalaya, (2013) 10 SCC 324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https://fpr.iura.in/lineages/reinstatement-to-compensation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