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Lineage · LN-0007 · Constitutional</w:t>
      </w:r>
    </w:p>
    <w:p>
      <w:pPr>
        <w:pStyle w:val="Title"/>
      </w:pPr>
      <w:r>
        <w:t xml:space="preserve">Reservation in Promotion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first decision</w:t>
      </w:r>
    </w:p>
    <w:p>
      <w:pPr>
        <w:pStyle w:val="Guidance"/>
      </w:pPr>
      <w:r>
        <w:t xml:space="preserve">Where the line of cases begins and what was held.</w:t>
      </w:r>
    </w:p>
    <w:p/>
    <w:p>
      <w:pPr>
        <w:pStyle w:val="Heading1"/>
      </w:pPr>
      <w:r>
        <w:t xml:space="preserve">The turning points</w:t>
      </w:r>
    </w:p>
    <w:p>
      <w:pPr>
        <w:pStyle w:val="Guidance"/>
      </w:pPr>
      <w:r>
        <w:t xml:space="preserve">Each decision that changed the position, in order, and why it did.</w:t>
      </w:r>
    </w:p>
    <w:p/>
    <w:p>
      <w:pPr>
        <w:pStyle w:val="Heading1"/>
      </w:pPr>
      <w:r>
        <w:t xml:space="preserve">The current position</w:t>
      </w:r>
    </w:p>
    <w:p>
      <w:pPr>
        <w:pStyle w:val="Guidance"/>
      </w:pPr>
      <w:r>
        <w:t xml:space="preserve">What the law is now, in the words of the latest decision.</w:t>
      </w:r>
    </w:p>
    <w:p/>
    <w:p>
      <w:pPr>
        <w:pStyle w:val="Heading1"/>
      </w:pPr>
      <w:r>
        <w:t xml:space="preserve">What drove the change</w:t>
      </w:r>
    </w:p>
    <w:p>
      <w:pPr>
        <w:pStyle w:val="Guidance"/>
      </w:pPr>
      <w:r>
        <w:t xml:space="preserve">Your reading of why the courts moved.</w:t>
      </w:r>
    </w:p>
    <w:p/>
    <w:p>
      <w:pPr>
        <w:pStyle w:val="Heading1"/>
      </w:pPr>
      <w:r>
        <w:t xml:space="preserve">What is left open</w:t>
      </w:r>
    </w:p>
    <w:p>
      <w:pPr>
        <w:pStyle w:val="Guidance"/>
      </w:pPr>
      <w:r>
        <w:t xml:space="preserve">Questions the latest decision did not settle.</w:t>
      </w:r>
    </w:p>
    <w:p/>
    <w:p>
      <w:pPr>
        <w:pStyle w:val="Heading1"/>
      </w:pPr>
      <w:r>
        <w:t xml:space="preserve">Notes for the writer (delete before submitting)</w:t>
      </w:r>
    </w:p>
    <w:p>
      <w:pPr>
        <w:pStyle w:val="Guidance"/>
      </w:pPr>
      <w:r>
        <w:t xml:space="preserve">Scope of this entry. A dialogue between Court and Parliament: Indra Sawhney, three amendments, Nagaraj and its partial correction.</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Indra Sawhney v. Union of India, 1992 Supp (3) SCC 217</w:t>
      </w:r>
    </w:p>
    <w:p>
      <w:pPr>
        <w:pStyle w:val="Bullet"/>
      </w:pPr>
      <w:r>
        <w:t xml:space="preserve">•  M. Nagaraj v. Union of India, (2006) 8 SCC 212</w:t>
      </w:r>
    </w:p>
    <w:p>
      <w:pPr>
        <w:pStyle w:val="Bullet"/>
      </w:pPr>
      <w:r>
        <w:t xml:space="preserve">•  Jarnail Singh v. Lachhmi Narain Gupta, (2018) 10 SCC 396</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https://fpr.iura.in/lineages/reservation-in-promotion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