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LN-0040 · Tax</w:t>
      </w:r>
    </w:p>
    <w:p>
      <w:pPr>
        <w:pStyle w:val="Title"/>
      </w:pPr>
      <w:r>
        <w:t xml:space="preserve">Retrospective Taxation, from Vodafone to the 2021 Repeal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Supreme Court ruling, an amendment reaching back to 1962, two treaty awards against India, and withdrawal.</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w:t>
      </w:r>
    </w:p>
    <w:p>
      <w:pPr>
        <w:pStyle w:val="Bullet"/>
      </w:pPr>
      <w:r>
        <w:t xml:space="preserve">•  Finance Act, 2012</w:t>
      </w:r>
    </w:p>
    <w:p>
      <w:pPr>
        <w:pStyle w:val="Bullet"/>
      </w:pPr>
      <w:r>
        <w:t xml:space="preserve">•  Taxation Laws (Amendment)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https://fpr.iura.in/lineages/retrospective-taxation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