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LN-0071 · Constitutional</w:t>
      </w:r>
    </w:p>
    <w:p>
      <w:pPr>
        <w:pStyle w:val="Title"/>
      </w:pPr>
      <w:r>
        <w:t xml:space="preserve">The Right to Education, from Mohini Jain to the 2009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 directive principle became a judicial right, then Article 21A, then a statute binding private schools.</w:t>
      </w:r>
    </w:p>
    <w:p>
      <w:pPr>
        <w:pStyle w:val="Guidance"/>
      </w:pPr>
      <w:r>
        <w:t xml:space="preserve">Authorities to start from. These are places to begin, listed by the editors. Read each one in the original and check the citation before you rely on it.</w:t>
      </w:r>
    </w:p>
    <w:p>
      <w:pPr>
        <w:pStyle w:val="Bullet"/>
      </w:pPr>
      <w:r>
        <w:t xml:space="preserve">•  Mohini Jain v. State of Karnataka, (1992) 3 SCC 666</w:t>
      </w:r>
    </w:p>
    <w:p>
      <w:pPr>
        <w:pStyle w:val="Bullet"/>
      </w:pPr>
      <w:r>
        <w:t xml:space="preserve">•  Unni Krishnan, J.P. v. State of A.P., (1993) 1 SCC 645</w:t>
      </w:r>
    </w:p>
    <w:p>
      <w:pPr>
        <w:pStyle w:val="Bullet"/>
      </w:pPr>
      <w:r>
        <w:t xml:space="preserve">•  Right of Children to Free and Compulsory Education Act, 2009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https://fpr.iura.in/lineages/right-to-education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