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LN-0028 · Property</w:t>
      </w:r>
    </w:p>
    <w:p>
      <w:pPr>
        <w:pStyle w:val="Title"/>
      </w:pPr>
      <w:r>
        <w:t xml:space="preserve">The Right to Property, from Article 31 to Article 300A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most amended right: compensation battles, removal from Part III, and its quiet return as a constitutional and human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Bela Banerjee, AIR 1954 SC 170</w:t>
      </w:r>
    </w:p>
    <w:p>
      <w:pPr>
        <w:pStyle w:val="Bullet"/>
      </w:pPr>
      <w:r>
        <w:t xml:space="preserve">•  R.C. Cooper v. Union of India, (1970) 1 SCC 248</w:t>
      </w:r>
    </w:p>
    <w:p>
      <w:pPr>
        <w:pStyle w:val="Bullet"/>
      </w:pPr>
      <w:r>
        <w:t xml:space="preserve">•  K.T. Plantation (P) Ltd. v. State of Karnataka, (2011) 9 SCC 1</w:t>
      </w:r>
    </w:p>
    <w:p>
      <w:pPr>
        <w:pStyle w:val="Bullet"/>
      </w:pPr>
      <w:r>
        <w:t xml:space="preserve">•  Vidya Devi v. State of H.P., (2020) 2 SCC 569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https://fpr.iura.in/lineages/right-to-property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