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LN-0021 · Arbitration</w:t>
      </w:r>
    </w:p>
    <w:p>
      <w:pPr>
        <w:pStyle w:val="Title"/>
      </w:pPr>
      <w:r>
        <w:t xml:space="preserve">Foreign-Seated Arbitration, from Bhatia to BALCO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decade in which Part I applied to arbitrations abroad, its prospective overruling, and the statutory repair.</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Bhatia International v. Bulk Trading S.A., (2002) 4 SCC 105</w:t>
      </w:r>
    </w:p>
    <w:p>
      <w:pPr>
        <w:pStyle w:val="Bullet"/>
      </w:pPr>
      <w:r>
        <w:t xml:space="preserve">•  Venture Global Engineering v. Satyam Computer Services Ltd., (2008) 4 SCC 190</w:t>
      </w:r>
    </w:p>
    <w:p>
      <w:pPr>
        <w:pStyle w:val="Bullet"/>
      </w:pPr>
      <w:r>
        <w:t xml:space="preserve">•  Bharat Aluminium Co. v. Kaiser Aluminium Technical Services Inc., (2012) 9 SCC 552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https://fpr.iura.in/lineages/seat-of-arbitration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