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LN-0045 · Securities</w:t>
      </w:r>
    </w:p>
    <w:p>
      <w:pPr>
        <w:pStyle w:val="Title"/>
      </w:pPr>
      <w:r>
        <w:t xml:space="preserve">The Growth of SEBI’s Powers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an advisory body to a regulator that can investigate, disgorge and attach, and the Court’s reading of each new power.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 11B</w:t>
      </w:r>
    </w:p>
    <w:p>
      <w:pPr>
        <w:pStyle w:val="Bullet"/>
      </w:pPr>
      <w:r>
        <w:t xml:space="preserve">•  Sahara India Real Estate Corpn. Ltd. v. SEBI, (2013) 1 SCC 1</w:t>
      </w:r>
    </w:p>
    <w:p>
      <w:pPr>
        <w:pStyle w:val="Bullet"/>
      </w:pPr>
      <w:r>
        <w:t xml:space="preserve">•  SEBI v. Kishore R. Ajmera, (2016) 6 SCC 368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https://fpr.iura.in/lineages/sebi-powers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