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LN-0012 · Criminal</w:t>
      </w:r>
    </w:p>
    <w:p>
      <w:pPr>
        <w:pStyle w:val="Title"/>
      </w:pPr>
      <w:r>
        <w:t xml:space="preserve">Sedition, from Tilak to the Abeyance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Section 124A from the colonial trials through Kedar Nath to its suspension in 2022 and its successor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Queen-Empress v. Bal Gangadhar Tilak, ILR (1898) 22 Bom 112</w:t>
      </w:r>
    </w:p>
    <w:p>
      <w:pPr>
        <w:pStyle w:val="Bullet"/>
      </w:pPr>
      <w:r>
        <w:t xml:space="preserve">•  Niharendu Dutt Majumdar v. King-Emperor, AIR 1942 FC 22</w:t>
      </w:r>
    </w:p>
    <w:p>
      <w:pPr>
        <w:pStyle w:val="Bullet"/>
      </w:pPr>
      <w:r>
        <w:t xml:space="preserve">•  Kedar Nath Singh v. State of Bihar, AIR 1962 SC 955</w:t>
      </w:r>
    </w:p>
    <w:p>
      <w:pPr>
        <w:pStyle w:val="Bullet"/>
      </w:pPr>
      <w:r>
        <w:t xml:space="preserve">•  S.G. Vombatkere v. Union of India, (2022) 7 SCC 433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https://fpr.iura.in/lineages/sedition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