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LN-0042 · Tax</w:t>
      </w:r>
    </w:p>
    <w:p>
      <w:pPr>
        <w:pStyle w:val="Title"/>
      </w:pPr>
      <w:r>
        <w:t xml:space="preserve">Is Payment for Software a Royalty?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Two decades of conflicting High Court rulings and the Supreme Court’s answer in 2021.</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Samsung Electronics Co. Ltd., 2011 SCC OnLine Kar 3913</w:t>
      </w:r>
    </w:p>
    <w:p>
      <w:pPr>
        <w:pStyle w:val="Bullet"/>
      </w:pPr>
      <w:r>
        <w:t xml:space="preserve">•  Engineering Analysis Centre of Excellence (P) Ltd. v. CIT, (2022) 3 SCC 321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https://fpr.iura.in/lineages/software-royalty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