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Lineage · LN-0024 · Tax</w:t>
      </w:r>
    </w:p>
    <w:p>
      <w:pPr>
        <w:pStyle w:val="Title"/>
      </w:pPr>
      <w:r>
        <w:t xml:space="preserve">Tax Planning, from McDowell to Vodafone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first decision</w:t>
      </w:r>
    </w:p>
    <w:p>
      <w:pPr>
        <w:pStyle w:val="Guidance"/>
      </w:pPr>
      <w:r>
        <w:t xml:space="preserve">Where the line of cases begins and what was held.</w:t>
      </w:r>
    </w:p>
    <w:p/>
    <w:p>
      <w:pPr>
        <w:pStyle w:val="Heading1"/>
      </w:pPr>
      <w:r>
        <w:t xml:space="preserve">The turning points</w:t>
      </w:r>
    </w:p>
    <w:p>
      <w:pPr>
        <w:pStyle w:val="Guidance"/>
      </w:pPr>
      <w:r>
        <w:t xml:space="preserve">Each decision that changed the position, in order, and why it did.</w:t>
      </w:r>
    </w:p>
    <w:p/>
    <w:p>
      <w:pPr>
        <w:pStyle w:val="Heading1"/>
      </w:pPr>
      <w:r>
        <w:t xml:space="preserve">The current position</w:t>
      </w:r>
    </w:p>
    <w:p>
      <w:pPr>
        <w:pStyle w:val="Guidance"/>
      </w:pPr>
      <w:r>
        <w:t xml:space="preserve">What the law is now, in the words of the latest decision.</w:t>
      </w:r>
    </w:p>
    <w:p/>
    <w:p>
      <w:pPr>
        <w:pStyle w:val="Heading1"/>
      </w:pPr>
      <w:r>
        <w:t xml:space="preserve">What drove the change</w:t>
      </w:r>
    </w:p>
    <w:p>
      <w:pPr>
        <w:pStyle w:val="Guidance"/>
      </w:pPr>
      <w:r>
        <w:t xml:space="preserve">Your reading of why the courts moved.</w:t>
      </w:r>
    </w:p>
    <w:p/>
    <w:p>
      <w:pPr>
        <w:pStyle w:val="Heading1"/>
      </w:pPr>
      <w:r>
        <w:t xml:space="preserve">What is left open</w:t>
      </w:r>
    </w:p>
    <w:p>
      <w:pPr>
        <w:pStyle w:val="Guidance"/>
      </w:pPr>
      <w:r>
        <w:t xml:space="preserve">Questions the latest decision did not settle.</w:t>
      </w:r>
    </w:p>
    <w:p/>
    <w:p>
      <w:pPr>
        <w:pStyle w:val="Heading1"/>
      </w:pPr>
      <w:r>
        <w:t xml:space="preserve">Notes for the writer (delete before submitting)</w:t>
      </w:r>
    </w:p>
    <w:p>
      <w:pPr>
        <w:pStyle w:val="Guidance"/>
      </w:pPr>
      <w:r>
        <w:t xml:space="preserve">Scope of this entry. The reception of Ramsay in India, the retreat in Azadi Bachao, and the reconciliation attempted in Vodafone.</w:t>
      </w:r>
    </w:p>
    <w:p>
      <w:pPr>
        <w:pStyle w:val="Guidance"/>
      </w:pPr>
      <w:r>
        <w:t xml:space="preserve">Authorities to start from. These are places to begin, listed by the editors. Read each one in the original and check the citation before you rely on it.</w:t>
      </w:r>
    </w:p>
    <w:p>
      <w:pPr>
        <w:pStyle w:val="Bullet"/>
      </w:pPr>
      <w:r>
        <w:t xml:space="preserve">•  McDowell &amp; Co. Ltd. v. CTO, (1985) 3 SCC 230</w:t>
      </w:r>
    </w:p>
    <w:p>
      <w:pPr>
        <w:pStyle w:val="Bullet"/>
      </w:pPr>
      <w:r>
        <w:t xml:space="preserve">•  Union of India v. Azadi Bachao Andolan, (2004) 10 SCC 1</w:t>
      </w:r>
    </w:p>
    <w:p>
      <w:pPr>
        <w:pStyle w:val="Bullet"/>
      </w:pPr>
      <w:r>
        <w:t xml:space="preserve">•  Vodafone International Holdings BV v. Union of India, (2012) 6 SCC 613</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https://fpr.iura.in/lineages/tax-planning</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