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LN-0066 · Human Rights</w:t>
      </w:r>
    </w:p>
    <w:p>
      <w:pPr>
        <w:pStyle w:val="Title"/>
      </w:pPr>
      <w:r>
        <w:t xml:space="preserve">Transgender Rights, from NALSA to the 2019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Self-identification recognised by the Court, and a statute criticised for qualifying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Legal Services Authority v. Union of India, (2014) 5 SCC 438</w:t>
      </w:r>
    </w:p>
    <w:p>
      <w:pPr>
        <w:pStyle w:val="Bullet"/>
      </w:pPr>
      <w:r>
        <w:t xml:space="preserve">•  Transgender Persons (Protection of Rights) Act,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https://fpr.iura.in/lineages/transgender-rights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