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LN-0062 · International (Public)</w:t>
      </w:r>
    </w:p>
    <w:p>
      <w:pPr>
        <w:pStyle w:val="Title"/>
      </w:pPr>
      <w:r>
        <w:t xml:space="preserve">Treaties in Indian Courts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strict dualism to treaties as aids to construction and sources of unwritten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Jolly George Varghese v. Bank of Cochin, (1980) 2 SCC 360</w:t>
      </w:r>
    </w:p>
    <w:p>
      <w:pPr>
        <w:pStyle w:val="Bullet"/>
      </w:pPr>
      <w:r>
        <w:t xml:space="preserve">•  Vishaka v. State of Rajasthan, (1997) 6 SCC 241</w:t>
      </w:r>
    </w:p>
    <w:p>
      <w:pPr>
        <w:pStyle w:val="Bullet"/>
      </w:pPr>
      <w:r>
        <w:t xml:space="preserve">•  National Legal Services Authority v. Union of India, (2014) 5 SCC 438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https://fpr.iura.in/lineages/treaties-in-indian-courts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