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LN-0080 · Administrative</w:t>
      </w:r>
    </w:p>
    <w:p>
      <w:pPr>
        <w:pStyle w:val="Title"/>
      </w:pPr>
      <w:r>
        <w:t xml:space="preserve">Tribunals, from Sampath Kumar to Madras Bar Association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Forty years of litigation over whether tribunals may replace High Courts and who may sit on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S.P. Sampath Kumar v. Union of India, (1987) 1 SCC 124</w:t>
      </w:r>
    </w:p>
    <w:p>
      <w:pPr>
        <w:pStyle w:val="Bullet"/>
      </w:pPr>
      <w:r>
        <w:t xml:space="preserve">•  L. Chandra Kumar v. Union of India, (1997) 3 SCC 261</w:t>
      </w:r>
    </w:p>
    <w:p>
      <w:pPr>
        <w:pStyle w:val="Bullet"/>
      </w:pPr>
      <w:r>
        <w:t xml:space="preserve">•  Madras Bar Association v. Union of India, (2014) 10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https://fpr.iura.in/lineages/tribunals-in-the-supreme-court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