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LN-0061 · Environment</w:t>
      </w:r>
    </w:p>
    <w:p>
      <w:pPr>
        <w:pStyle w:val="Title"/>
      </w:pPr>
      <w:r>
        <w:t xml:space="preserve">The Delhi Vehicular Pollution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Court-ordered conversion of public transport to compressed natural gas, and the limits of judicial management.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M.C. Mehta v. Union of India, (1998) 6 SCC 63</w:t>
      </w:r>
    </w:p>
    <w:p>
      <w:pPr>
        <w:pStyle w:val="Bullet"/>
      </w:pPr>
      <w:r>
        <w:t xml:space="preserve">•  M.C. Mehta v. Union of India, (2002) 4 SCC 356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https://fpr.iura.in/lineages/vehicular-pollution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