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LN-0074 · Constitutional</w:t>
      </w:r>
    </w:p>
    <w:p>
      <w:pPr>
        <w:pStyle w:val="Title"/>
      </w:pPr>
      <w:r>
        <w:t xml:space="preserve">The Voter’s Right to Know, from ADR to Electoral Bonds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From disclosure of candidates’ records and assets to the striking down of anonymous political funding.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Union of India v. Association for Democratic Reforms, (2002) 5 SCC 294</w:t>
      </w:r>
    </w:p>
    <w:p>
      <w:pPr>
        <w:pStyle w:val="Bullet"/>
      </w:pPr>
      <w:r>
        <w:t xml:space="preserve">•  People’s Union for Civil Liberties v. Union of India, (2003) 4 SCC 399</w:t>
      </w:r>
    </w:p>
    <w:p>
      <w:pPr>
        <w:pStyle w:val="Bullet"/>
      </w:pPr>
      <w:r>
        <w:t xml:space="preserve">•  Association for Democratic Reforms v. Union of India (Supreme Court, Feb. 15, 2024)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https://fpr.iura.in/lineages/voters-right-to-know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