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LN-0041 · Tax</w:t>
      </w:r>
    </w:p>
    <w:p>
      <w:pPr>
        <w:pStyle w:val="Title"/>
      </w:pPr>
      <w:r>
        <w:t xml:space="preserve">Taxing Works Contracts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From Gannon Dunkerley’s indivisible contract, through the Forty-sixth Amendment, to composite supply under GST.</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Madras v. Gannon Dunkerley &amp; Co. (Madras) Ltd., AIR 1958 SC 560</w:t>
      </w:r>
    </w:p>
    <w:p>
      <w:pPr>
        <w:pStyle w:val="Bullet"/>
      </w:pPr>
      <w:r>
        <w:t xml:space="preserve">•  Builders’ Assn. of India v. Union of India, (1989) 2 SCC 645</w:t>
      </w:r>
    </w:p>
    <w:p>
      <w:pPr>
        <w:pStyle w:val="Bullet"/>
      </w:pPr>
      <w:r>
        <w:t xml:space="preserve">•  Larsen &amp; Toubro Ltd. v. State of Karnataka, (2014) 1 SCC 708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https://fpr.iura.in/lineages/works-contracts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