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PR-0086 · Civil Procedure</w:t>
      </w:r>
    </w:p>
    <w:p>
      <w:pPr>
        <w:pStyle w:val="Title"/>
      </w:pPr>
      <w:r>
        <w:t xml:space="preserve">Actus Curiae Neminem Gravabit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rule that no one should suffer by an act of the court, and the duty to undo an advantage gained under an order later set aside.</w:t>
      </w:r>
    </w:p>
    <w:p>
      <w:pPr>
        <w:pStyle w:val="Guidance"/>
      </w:pPr>
      <w:r>
        <w:t xml:space="preserve">Authorities to start from. These are places to begin, listed by the editors. Read each one in the original and check the citation before you rely on it.</w:t>
      </w:r>
    </w:p>
    <w:p>
      <w:pPr>
        <w:pStyle w:val="Bullet"/>
      </w:pPr>
      <w:r>
        <w:t xml:space="preserve">•  South Eastern Coalfields Ltd. v. State of M.P., (2003) 8 SCC 648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https://fpr.iura.in/principles/actus-curiae-neminem-gravabit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