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PR-0118 · Tax</w:t>
      </w:r>
    </w:p>
    <w:p>
      <w:pPr>
        <w:pStyle w:val="Title"/>
      </w:pPr>
      <w:r>
        <w:t xml:space="preserve">Arm’s Length Principle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dealings between related enterprises are taxed as if made between independent parties.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92, 92C</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https://fpr.iura.in/principles/arms-length-principle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