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PR-0110 · Corporate</w:t>
      </w:r>
    </w:p>
    <w:p>
      <w:pPr>
        <w:pStyle w:val="Title"/>
      </w:pPr>
      <w:r>
        <w:t xml:space="preserve">The Auditor as Watchdog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of an auditor’s duty: reasonable skill and care, without an obligation to suspect dishonesty in everything.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Kingston Cotton Mill Co. (No. 2), [1896] 2 Ch 279</w:t>
      </w:r>
    </w:p>
    <w:p>
      <w:pPr>
        <w:pStyle w:val="Bullet"/>
      </w:pPr>
      <w:r>
        <w:t xml:space="preserve">•  Companies Act, 2013, § 143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https://fpr.iura.in/principles/auditor-as-watchdog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