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PR-0138 · International (Public)</w:t>
      </w:r>
    </w:p>
    <w:p>
      <w:pPr>
        <w:pStyle w:val="Title"/>
      </w:pPr>
      <w:r>
        <w:t xml:space="preserve">Aut Dedere Aut Judicare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duty of a State holding a person accused of certain crimes either to extradite or to prosecute.</w:t>
      </w:r>
    </w:p>
    <w:p>
      <w:pPr>
        <w:pStyle w:val="Guidance"/>
      </w:pPr>
      <w:r>
        <w:t xml:space="preserve">Authorities to start from. These are places to begin, listed by the editors. Read each one in the original and check the citation before you rely on it.</w:t>
      </w:r>
    </w:p>
    <w:p>
      <w:pPr>
        <w:pStyle w:val="Bullet"/>
      </w:pPr>
      <w:r>
        <w:t xml:space="preserve">•  Questions Relating to the Obligation to Prosecute or Extradite (Belg. v. Sen.), Judgment, 2012 I.C.J. 422 (July 20)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https://fpr.iura.in/principles/aut-dedere-aut-judicare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