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PR-0038 · Banking</w:t>
      </w:r>
    </w:p>
    <w:p>
      <w:pPr>
        <w:pStyle w:val="Title"/>
      </w:pPr>
      <w:r>
        <w:t xml:space="preserve">The Banker’s Duty of Confidentiality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bank’s implied duty of secrecy and its four recognised exceptions, as received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Tournier v. National Provincial and Union Bank of England, [1924] 1 KB 461</w:t>
      </w:r>
    </w:p>
    <w:p>
      <w:pPr>
        <w:pStyle w:val="Bullet"/>
      </w:pPr>
      <w:r>
        <w:t xml:space="preserve">•  District Registrar and Collector v. Canara Bank, (2005) 1 SCC 496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https://fpr.iura.in/principles/banker-confidentiality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