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PR-0109 · Corporate</w:t>
      </w:r>
    </w:p>
    <w:p>
      <w:pPr>
        <w:pStyle w:val="Title"/>
      </w:pPr>
      <w:r>
        <w:t xml:space="preserve">Capital Maintenance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company’s capital is a fund for creditors and may be returned to members only in ways the Act permits.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Trevor v. Whitworth, (1887) 12 App Cas 409</w:t>
      </w:r>
    </w:p>
    <w:p>
      <w:pPr>
        <w:pStyle w:val="Bullet"/>
      </w:pPr>
      <w:r>
        <w:t xml:space="preserve">•  Companies Act, 2013, §§ 66, 67, 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https://fpr.iura.in/principles/capital-maintenance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